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2026-0533-67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Sanierungsmaßnahmen an sieben städtischen Kindertageseinrichtungen - KiTa Sanierung 2026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Rückbau und Austausch von Spielgeräten und Einrichtungsgegenständen, Befestigungsarbeiten in geringem Umfang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